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18" w:rsidRDefault="00826F8C">
      <w:pPr>
        <w:pStyle w:val="20"/>
        <w:shd w:val="clear" w:color="auto" w:fill="auto"/>
        <w:ind w:right="40"/>
      </w:pPr>
      <w:r>
        <w:t>ПРОТОКОЛ совещания в Минздравсоцразвития России по обсуждению вопросов, возникающих при реализации норм антикоррупционного законодательства, в том числе при предоставлении сведений о доходах, об имуществе и обязательствах</w:t>
      </w:r>
    </w:p>
    <w:p w:rsidR="00491518" w:rsidRDefault="00826F8C">
      <w:pPr>
        <w:pStyle w:val="20"/>
        <w:shd w:val="clear" w:color="auto" w:fill="auto"/>
        <w:spacing w:after="638"/>
        <w:ind w:right="40"/>
      </w:pPr>
      <w:r>
        <w:t>имущественного характера</w:t>
      </w:r>
    </w:p>
    <w:p w:rsidR="00491518" w:rsidRDefault="00826F8C">
      <w:pPr>
        <w:pStyle w:val="1"/>
        <w:shd w:val="clear" w:color="auto" w:fill="auto"/>
        <w:tabs>
          <w:tab w:val="left" w:pos="8022"/>
        </w:tabs>
        <w:spacing w:before="0" w:after="658" w:line="270" w:lineRule="exact"/>
        <w:ind w:left="160" w:firstLine="0"/>
      </w:pPr>
      <w:r>
        <w:t>20 декабря 2011 г.</w:t>
      </w:r>
      <w:r>
        <w:tab/>
        <w:t>№ 4/17/74</w:t>
      </w:r>
    </w:p>
    <w:p w:rsidR="00491518" w:rsidRDefault="00826F8C">
      <w:pPr>
        <w:pStyle w:val="20"/>
        <w:shd w:val="clear" w:color="auto" w:fill="auto"/>
        <w:spacing w:line="280" w:lineRule="exact"/>
        <w:ind w:left="160"/>
        <w:jc w:val="left"/>
      </w:pPr>
      <w:r>
        <w:t>Председательствовал:</w:t>
      </w:r>
    </w:p>
    <w:p w:rsidR="00491518" w:rsidRDefault="00826F8C">
      <w:pPr>
        <w:pStyle w:val="1"/>
        <w:shd w:val="clear" w:color="auto" w:fill="auto"/>
        <w:spacing w:before="0" w:after="0" w:line="324" w:lineRule="exact"/>
        <w:ind w:left="160" w:firstLine="0"/>
      </w:pPr>
      <w:r>
        <w:t>заместитель Министра</w:t>
      </w:r>
    </w:p>
    <w:p w:rsidR="00491518" w:rsidRDefault="00826F8C">
      <w:pPr>
        <w:pStyle w:val="1"/>
        <w:shd w:val="clear" w:color="auto" w:fill="auto"/>
        <w:spacing w:before="0" w:after="0" w:line="324" w:lineRule="exact"/>
        <w:ind w:left="160" w:firstLine="0"/>
      </w:pPr>
      <w:r>
        <w:t>здравоохранения и социального</w:t>
      </w:r>
    </w:p>
    <w:p w:rsidR="00491518" w:rsidRDefault="00826F8C">
      <w:pPr>
        <w:pStyle w:val="1"/>
        <w:shd w:val="clear" w:color="auto" w:fill="auto"/>
        <w:spacing w:before="0" w:after="95" w:line="324" w:lineRule="exact"/>
        <w:ind w:left="160" w:firstLine="0"/>
      </w:pPr>
      <w:r>
        <w:t xml:space="preserve">развития Российской Федерации </w:t>
      </w:r>
      <w:r>
        <w:rPr>
          <w:lang w:val="en-US"/>
        </w:rPr>
        <w:t xml:space="preserve">A.JI. </w:t>
      </w:r>
      <w:r>
        <w:t>Сафонов</w:t>
      </w:r>
    </w:p>
    <w:p w:rsidR="00491518" w:rsidRDefault="00826F8C">
      <w:pPr>
        <w:pStyle w:val="20"/>
        <w:shd w:val="clear" w:color="auto" w:fill="auto"/>
        <w:spacing w:line="280" w:lineRule="exact"/>
        <w:ind w:left="160"/>
        <w:jc w:val="left"/>
      </w:pPr>
      <w:r>
        <w:t>Присутствовали:</w:t>
      </w:r>
    </w:p>
    <w:p w:rsidR="00491518" w:rsidRDefault="00826F8C">
      <w:pPr>
        <w:pStyle w:val="1"/>
        <w:shd w:val="clear" w:color="auto" w:fill="auto"/>
        <w:spacing w:before="0" w:after="0" w:line="270" w:lineRule="exact"/>
        <w:ind w:left="160" w:firstLine="0"/>
      </w:pPr>
      <w:r>
        <w:t>от Минздравсоцразвития России: Д.В. Баснак, С.П. Вотинов,</w:t>
      </w:r>
    </w:p>
    <w:p w:rsidR="00491518" w:rsidRDefault="00826F8C">
      <w:pPr>
        <w:pStyle w:val="1"/>
        <w:shd w:val="clear" w:color="auto" w:fill="auto"/>
        <w:spacing w:before="0" w:after="306" w:line="324" w:lineRule="exact"/>
        <w:ind w:left="4580" w:right="860" w:firstLine="0"/>
        <w:jc w:val="right"/>
      </w:pPr>
      <w:r>
        <w:t>А.С. Казьмин, Е.А. Ковалькова, С.М. Нечаева, К.А. Шароватова</w:t>
      </w:r>
    </w:p>
    <w:p w:rsidR="00491518" w:rsidRDefault="00826F8C">
      <w:pPr>
        <w:pStyle w:val="1"/>
        <w:shd w:val="clear" w:color="auto" w:fill="auto"/>
        <w:tabs>
          <w:tab w:val="left" w:pos="4437"/>
        </w:tabs>
        <w:spacing w:before="0" w:after="458" w:line="317" w:lineRule="exact"/>
        <w:ind w:left="160" w:right="40" w:firstLine="0"/>
      </w:pPr>
      <w:r>
        <w:t>от Администрации Президента С.И. Лемешко, В.И. Михайлов, Российской Федерации:</w:t>
      </w:r>
      <w:r>
        <w:tab/>
      </w:r>
      <w:r>
        <w:rPr>
          <w:lang w:val="en-US"/>
        </w:rPr>
        <w:t xml:space="preserve">P.P. </w:t>
      </w:r>
      <w:r>
        <w:t>Черментеев</w:t>
      </w:r>
    </w:p>
    <w:p w:rsidR="00491518" w:rsidRDefault="00826F8C">
      <w:pPr>
        <w:pStyle w:val="1"/>
        <w:shd w:val="clear" w:color="auto" w:fill="auto"/>
        <w:spacing w:before="0" w:after="0" w:line="270" w:lineRule="exact"/>
        <w:ind w:left="160" w:firstLine="0"/>
      </w:pPr>
      <w:r>
        <w:t>от Аппарата Правительства</w:t>
      </w:r>
    </w:p>
    <w:p w:rsidR="00491518" w:rsidRDefault="00826F8C">
      <w:pPr>
        <w:pStyle w:val="1"/>
        <w:shd w:val="clear" w:color="auto" w:fill="auto"/>
        <w:tabs>
          <w:tab w:val="left" w:pos="4516"/>
        </w:tabs>
        <w:spacing w:before="0" w:after="0" w:line="648" w:lineRule="exact"/>
        <w:ind w:left="160" w:firstLine="0"/>
      </w:pPr>
      <w:r>
        <w:t>Российской Федерации:</w:t>
      </w:r>
      <w:r>
        <w:tab/>
        <w:t>А.И. Вишняков, Ю.Н. Лукин</w:t>
      </w:r>
    </w:p>
    <w:p w:rsidR="00491518" w:rsidRDefault="00826F8C">
      <w:pPr>
        <w:pStyle w:val="1"/>
        <w:shd w:val="clear" w:color="auto" w:fill="auto"/>
        <w:tabs>
          <w:tab w:val="left" w:pos="4516"/>
        </w:tabs>
        <w:spacing w:before="0" w:after="362" w:line="648" w:lineRule="exact"/>
        <w:ind w:left="160" w:firstLine="0"/>
      </w:pPr>
      <w:r>
        <w:t>от Генпрокуратуры России:</w:t>
      </w:r>
      <w:r>
        <w:tab/>
      </w:r>
      <w:r>
        <w:t>Е.Ю. Митюшкина, Е.А. Орлова</w:t>
      </w:r>
    </w:p>
    <w:p w:rsidR="00491518" w:rsidRDefault="00826F8C">
      <w:pPr>
        <w:pStyle w:val="1"/>
        <w:shd w:val="clear" w:color="auto" w:fill="auto"/>
        <w:tabs>
          <w:tab w:val="left" w:pos="4523"/>
        </w:tabs>
        <w:spacing w:before="0" w:after="359" w:line="270" w:lineRule="exact"/>
        <w:ind w:left="160" w:firstLine="0"/>
      </w:pPr>
      <w:r>
        <w:t>от Минюста России:</w:t>
      </w:r>
      <w:r>
        <w:tab/>
        <w:t>Д.А. Быхун</w:t>
      </w:r>
    </w:p>
    <w:p w:rsidR="00491518" w:rsidRDefault="00826F8C">
      <w:pPr>
        <w:pStyle w:val="1"/>
        <w:shd w:val="clear" w:color="auto" w:fill="auto"/>
        <w:tabs>
          <w:tab w:val="left" w:pos="4530"/>
        </w:tabs>
        <w:spacing w:before="0" w:after="0" w:line="270" w:lineRule="exact"/>
        <w:ind w:left="160" w:firstLine="0"/>
      </w:pPr>
      <w:r>
        <w:t>от ФНС России:</w:t>
      </w:r>
      <w:r>
        <w:tab/>
        <w:t>Е.В. Смирнова, Ж.В. Тарантина,</w:t>
      </w:r>
    </w:p>
    <w:p w:rsidR="00491518" w:rsidRDefault="00826F8C">
      <w:pPr>
        <w:pStyle w:val="1"/>
        <w:shd w:val="clear" w:color="auto" w:fill="auto"/>
        <w:spacing w:before="0" w:after="189" w:line="270" w:lineRule="exact"/>
        <w:ind w:left="4580" w:firstLine="0"/>
      </w:pPr>
      <w:r>
        <w:t>А.В. Шумов</w:t>
      </w:r>
    </w:p>
    <w:p w:rsidR="00491518" w:rsidRDefault="00826F8C">
      <w:pPr>
        <w:pStyle w:val="1"/>
        <w:shd w:val="clear" w:color="auto" w:fill="auto"/>
        <w:spacing w:before="0" w:after="0" w:line="324" w:lineRule="exact"/>
        <w:ind w:left="160" w:right="40" w:firstLine="560"/>
        <w:jc w:val="both"/>
      </w:pPr>
      <w:r>
        <w:t>Участниками совещания рассмотрены поступившие в Минздравсоцразвития России обращения государственных служащих и письма федеральных государственных органов по вопросам заполнения справок о доходах, об имуществе и обязательствах имущественного характера (дал</w:t>
      </w:r>
      <w:r>
        <w:t>ее - справка), а также порядка урегулирования конфликта интересов. По итогам состоявшегося обсуждения на основе действующего законодательства и с учетом правоприменительной практики приняты следующие решения, рекомендательного характера.</w:t>
      </w:r>
    </w:p>
    <w:p w:rsidR="00491518" w:rsidRDefault="00826F8C">
      <w:pPr>
        <w:pStyle w:val="11"/>
        <w:keepNext/>
        <w:keepLines/>
        <w:shd w:val="clear" w:color="auto" w:fill="auto"/>
        <w:spacing w:after="234"/>
        <w:ind w:left="1880" w:right="460"/>
      </w:pPr>
      <w:bookmarkStart w:id="0" w:name="bookmark0"/>
      <w:r>
        <w:t>I. По вопросу запо</w:t>
      </w:r>
      <w:r>
        <w:t>лнения справок о доходах, об имуществе, обязательствах имущественного характера</w:t>
      </w:r>
      <w:bookmarkEnd w:id="0"/>
    </w:p>
    <w:p w:rsidR="00491518" w:rsidRDefault="00826F8C">
      <w:pPr>
        <w:pStyle w:val="1"/>
        <w:shd w:val="clear" w:color="auto" w:fill="auto"/>
        <w:spacing w:before="0" w:after="0" w:line="324" w:lineRule="exact"/>
        <w:ind w:left="1880"/>
      </w:pPr>
      <w:r>
        <w:t>(С.М. Нечаева, Д.В. Баснак, В.И. Михайлов, С.И. Лемешко,</w:t>
      </w:r>
    </w:p>
    <w:p w:rsidR="00491518" w:rsidRDefault="00826F8C">
      <w:pPr>
        <w:pStyle w:val="1"/>
        <w:shd w:val="clear" w:color="auto" w:fill="auto"/>
        <w:spacing w:before="0" w:after="0" w:line="324" w:lineRule="exact"/>
        <w:ind w:left="40" w:firstLine="740"/>
        <w:jc w:val="both"/>
      </w:pPr>
      <w:r>
        <w:t>А.И. Вишняков, Ю.Н. Лукин, Е.Ю. Митюшкина, Е.А. Орлова,</w:t>
      </w:r>
    </w:p>
    <w:p w:rsidR="00491518" w:rsidRDefault="00826F8C">
      <w:pPr>
        <w:pStyle w:val="1"/>
        <w:shd w:val="clear" w:color="auto" w:fill="auto"/>
        <w:spacing w:before="0" w:after="246" w:line="324" w:lineRule="exact"/>
        <w:ind w:left="3760" w:firstLine="0"/>
      </w:pPr>
      <w:r>
        <w:t>А.Л. Сафонов)</w:t>
      </w:r>
    </w:p>
    <w:p w:rsidR="00491518" w:rsidRDefault="00826F8C">
      <w:pPr>
        <w:pStyle w:val="1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17" w:lineRule="exact"/>
        <w:ind w:left="40" w:right="40" w:firstLine="740"/>
        <w:jc w:val="both"/>
      </w:pPr>
      <w:r>
        <w:lastRenderedPageBreak/>
        <w:t>При предоставлении сведений о доходах в справке не отражаются следующие выплаты, полученные государственным служащим (членами его семьи) в отчетный период:</w:t>
      </w:r>
    </w:p>
    <w:p w:rsidR="00491518" w:rsidRDefault="00826F8C">
      <w:pPr>
        <w:pStyle w:val="1"/>
        <w:shd w:val="clear" w:color="auto" w:fill="auto"/>
        <w:tabs>
          <w:tab w:val="left" w:pos="1048"/>
        </w:tabs>
        <w:spacing w:before="0" w:after="0" w:line="317" w:lineRule="exact"/>
        <w:ind w:left="40" w:right="40" w:firstLine="740"/>
        <w:jc w:val="both"/>
      </w:pPr>
      <w:r>
        <w:t>а)</w:t>
      </w:r>
      <w:r>
        <w:tab/>
        <w:t>возмещение расходов, связанных со служебными командировками, включающих:</w:t>
      </w:r>
    </w:p>
    <w:p w:rsidR="00491518" w:rsidRDefault="00826F8C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17" w:lineRule="exact"/>
        <w:ind w:left="40" w:right="40" w:firstLine="740"/>
        <w:jc w:val="both"/>
      </w:pPr>
      <w:r>
        <w:t>расходы по проезду к мес</w:t>
      </w:r>
      <w:r>
        <w:t>ту командирования и обратно - к постоянному месту прохождения федеральной государственной гражданской службы;</w:t>
      </w:r>
    </w:p>
    <w:p w:rsidR="00491518" w:rsidRDefault="00826F8C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17" w:lineRule="exact"/>
        <w:ind w:left="40" w:right="40" w:firstLine="740"/>
        <w:jc w:val="both"/>
      </w:pPr>
      <w:r>
        <w:t>расходы по проезду из одного населенного пункта в другой, если служащий командирован в несколько государственных органов (организаций), расположен</w:t>
      </w:r>
      <w:r>
        <w:t>ных в разных населенных пунктах;</w:t>
      </w:r>
    </w:p>
    <w:p w:rsidR="00491518" w:rsidRDefault="00826F8C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17" w:lineRule="exact"/>
        <w:ind w:left="40" w:firstLine="740"/>
        <w:jc w:val="both"/>
      </w:pPr>
      <w:r>
        <w:t>расходы по найму жилого помещения;</w:t>
      </w:r>
    </w:p>
    <w:p w:rsidR="00491518" w:rsidRDefault="00826F8C">
      <w:pPr>
        <w:pStyle w:val="1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17" w:lineRule="exact"/>
        <w:ind w:left="40" w:right="40" w:firstLine="740"/>
        <w:jc w:val="both"/>
      </w:pPr>
      <w:r>
        <w:t>дополнительные расходы, связанные с проживанием вне постоянного места жительства (суточные);</w:t>
      </w:r>
    </w:p>
    <w:p w:rsidR="00491518" w:rsidRDefault="00826F8C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317" w:lineRule="exact"/>
        <w:ind w:left="40" w:right="40" w:firstLine="740"/>
        <w:jc w:val="both"/>
      </w:pPr>
      <w:r>
        <w:t>иные расходы, связанные со служебной командировкой (при условии, что они произведены служащим с разрешения или ведома представителя нанимателя или уполномоченного им лица);</w:t>
      </w:r>
    </w:p>
    <w:p w:rsidR="00491518" w:rsidRDefault="00826F8C">
      <w:pPr>
        <w:pStyle w:val="1"/>
        <w:shd w:val="clear" w:color="auto" w:fill="auto"/>
        <w:tabs>
          <w:tab w:val="left" w:pos="1077"/>
        </w:tabs>
        <w:spacing w:before="0" w:after="0" w:line="317" w:lineRule="exact"/>
        <w:ind w:left="40" w:right="40" w:firstLine="740"/>
        <w:jc w:val="both"/>
      </w:pPr>
      <w:r>
        <w:t>б)</w:t>
      </w:r>
      <w:r>
        <w:tab/>
        <w:t>компенсация расходов на оплату проезда и провоза багажа к месту использования от</w:t>
      </w:r>
      <w:r>
        <w:t>пуска и обратно, в том числе представляемая лицам, работающим и проживающим в районах Крайнего Севера и приравненных к ним местностях;</w:t>
      </w:r>
    </w:p>
    <w:p w:rsidR="00491518" w:rsidRDefault="00826F8C">
      <w:pPr>
        <w:pStyle w:val="1"/>
        <w:shd w:val="clear" w:color="auto" w:fill="auto"/>
        <w:tabs>
          <w:tab w:val="left" w:pos="1055"/>
        </w:tabs>
        <w:spacing w:before="0" w:after="0" w:line="317" w:lineRule="exact"/>
        <w:ind w:left="40" w:right="40" w:firstLine="740"/>
        <w:jc w:val="both"/>
      </w:pPr>
      <w:r>
        <w:t>в)</w:t>
      </w:r>
      <w:r>
        <w:tab/>
        <w:t>средства (бонусы) на накопительных дисконтных картах, предоставленные магазинами розничной торговли, обладателем котор</w:t>
      </w:r>
      <w:r>
        <w:t>ых является государственный служащий (члены его семьи).</w:t>
      </w:r>
    </w:p>
    <w:p w:rsidR="00491518" w:rsidRDefault="00826F8C">
      <w:pPr>
        <w:pStyle w:val="1"/>
        <w:numPr>
          <w:ilvl w:val="1"/>
          <w:numId w:val="2"/>
        </w:numPr>
        <w:shd w:val="clear" w:color="auto" w:fill="auto"/>
        <w:tabs>
          <w:tab w:val="left" w:pos="1068"/>
        </w:tabs>
        <w:spacing w:before="0" w:after="0" w:line="317" w:lineRule="exact"/>
        <w:ind w:left="40" w:firstLine="740"/>
        <w:jc w:val="both"/>
      </w:pPr>
      <w:r>
        <w:t>Подлежат указанию в справке следующие доходы: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40" w:firstLine="740"/>
        <w:jc w:val="both"/>
      </w:pPr>
      <w:r>
        <w:t>социальные выплаты в денежной форме (замена скидок по оплате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40" w:right="40" w:firstLine="0"/>
        <w:jc w:val="both"/>
      </w:pPr>
      <w:r>
        <w:t>жилого помещения, коммунальных услуг и услуг связи), представляемые отдельным категориям граждан;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40" w:right="40" w:firstLine="740"/>
        <w:jc w:val="both"/>
      </w:pPr>
      <w:r>
        <w:t>денежные средства, выплаченные (перечисленные на счет) взамен выдачи полагающегося натурального довольствия;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40" w:firstLine="740"/>
        <w:jc w:val="both"/>
      </w:pPr>
      <w:r>
        <w:t>стипендии учащихся студентов, аспирантов и.т.д.</w:t>
      </w:r>
    </w:p>
    <w:p w:rsidR="00491518" w:rsidRDefault="00826F8C">
      <w:pPr>
        <w:pStyle w:val="1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 w:line="317" w:lineRule="exact"/>
        <w:ind w:left="40" w:right="40" w:firstLine="740"/>
        <w:jc w:val="both"/>
      </w:pPr>
      <w:r>
        <w:t>С</w:t>
      </w:r>
      <w:r>
        <w:t>ведения о транспортных средствах, находящихся в угоне, либо снятых с регистрационного учета, подлежат отражению в подразделе 2.2. «Транспортные средства» справки.</w:t>
      </w:r>
    </w:p>
    <w:p w:rsidR="00491518" w:rsidRDefault="00826F8C">
      <w:pPr>
        <w:pStyle w:val="1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 w:line="317" w:lineRule="exact"/>
        <w:ind w:left="40" w:right="40" w:firstLine="740"/>
        <w:jc w:val="both"/>
      </w:pPr>
      <w:r>
        <w:t>Пруд, обводненный карьер, расположенные в границах земельного участка, принадлежащего на прав</w:t>
      </w:r>
      <w:r>
        <w:t>е собственности государственному служащему (членам его семьи), не указываются как обособленное имущество, поскольку не допускается отчуждение таких водных объектов без отчуждения земельных участков, в границах которых они расположены.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right="60" w:firstLine="720"/>
        <w:jc w:val="both"/>
      </w:pPr>
      <w:r>
        <w:t xml:space="preserve">В случае если водный </w:t>
      </w:r>
      <w:r>
        <w:t>объект предоставлен государственному служащему (членам его семьи) в пользование на основании договора водопользования или решения о предоставлении водных объектов в пользование, соответствующие сведения отражаются в подразделе 5.1. «Объекты недвижимого иму</w:t>
      </w:r>
      <w:r>
        <w:t>щества, находящиеся в пользовании» справки.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right="60" w:firstLine="720"/>
        <w:jc w:val="both"/>
      </w:pPr>
      <w:r>
        <w:t xml:space="preserve">5. При заполнении подраздела 5.1. «Объекты недвижимого имущества, находящиеся в пользовании» справки указывается недвижимое имущество (муниципальное, ведомственное, арендованное и т.п.), находящееся во </w:t>
      </w:r>
      <w:r>
        <w:lastRenderedPageBreak/>
        <w:t xml:space="preserve">временном </w:t>
      </w:r>
      <w:r>
        <w:t>пользовании (не в собственности) государственного служащего, а также основание пользования. Данный подраздел заполняется в обязательном порядке теми государственными служащими, которые по месту прохождения службы (например, в соответствующем субъекте Росси</w:t>
      </w:r>
      <w:r>
        <w:t>йской Федерации) имеют временную регистрацию.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firstLine="720"/>
        <w:jc w:val="both"/>
      </w:pPr>
      <w:r>
        <w:t>Подлежат указанию сведения: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right="60" w:firstLine="720"/>
        <w:jc w:val="both"/>
      </w:pPr>
      <w:r>
        <w:t>о жилой площади (дом, дача, квартира и т.д.), не принадлежащей государственному служащему или членам его семьи на праве собственности или на праве нанимателя, где он (они) фактически проживает по состоянию на отчетную дату без заключения договора аренды, б</w:t>
      </w:r>
      <w:r>
        <w:t>езвозмездного пользования или социального найма;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firstLine="720"/>
        <w:jc w:val="both"/>
      </w:pPr>
      <w:r>
        <w:t>о квартирах, занимаемых по договорам социального найма.</w:t>
      </w:r>
    </w:p>
    <w:p w:rsidR="00491518" w:rsidRDefault="00826F8C">
      <w:pPr>
        <w:pStyle w:val="1"/>
        <w:shd w:val="clear" w:color="auto" w:fill="auto"/>
        <w:spacing w:before="0" w:after="294" w:line="317" w:lineRule="exact"/>
        <w:ind w:left="80" w:right="60" w:firstLine="720"/>
        <w:jc w:val="both"/>
      </w:pPr>
      <w:r>
        <w:t>Сведения об объекте недвижимого имущества, находящемся в долевой собственности государственного служащего (например, 1/2 доля квартиры) и члена его сем</w:t>
      </w:r>
      <w:r>
        <w:t>ьи (например, 1/2 доля квартиры), отражаются в подразделе 2.1. «Недвижимое имущество» справки (с указанием доли) государственного служащего и члена его семьи. При этом сведения о том, что государственный служащий пользуется долей (например, 1/2) объекта не</w:t>
      </w:r>
      <w:r>
        <w:t>движимого имущества, не принадлежащей ему на праве собственности, в подраздел 5.1. «Объекты недвижимого имущества, находящиеся в пользовании» не вносятся.</w:t>
      </w:r>
    </w:p>
    <w:p w:rsidR="00491518" w:rsidRDefault="00826F8C">
      <w:pPr>
        <w:pStyle w:val="11"/>
        <w:keepNext/>
        <w:keepLines/>
        <w:shd w:val="clear" w:color="auto" w:fill="auto"/>
        <w:tabs>
          <w:tab w:val="left" w:leader="underscore" w:pos="2154"/>
          <w:tab w:val="left" w:leader="underscore" w:pos="9339"/>
        </w:tabs>
        <w:spacing w:after="0" w:line="324" w:lineRule="exact"/>
        <w:ind w:left="80" w:right="60" w:firstLine="1500"/>
      </w:pPr>
      <w:bookmarkStart w:id="1" w:name="bookmark1"/>
      <w:r>
        <w:t xml:space="preserve">II. По вопросам, возникающим при реализации норм </w:t>
      </w:r>
      <w:r>
        <w:tab/>
      </w:r>
      <w:r>
        <w:rPr>
          <w:rStyle w:val="12"/>
        </w:rPr>
        <w:t>антикоррупционного законодательства</w:t>
      </w:r>
      <w:r>
        <w:tab/>
      </w:r>
      <w:bookmarkEnd w:id="1"/>
    </w:p>
    <w:p w:rsidR="00491518" w:rsidRDefault="00826F8C">
      <w:pPr>
        <w:pStyle w:val="1"/>
        <w:shd w:val="clear" w:color="auto" w:fill="auto"/>
        <w:spacing w:before="0" w:after="306" w:line="324" w:lineRule="exact"/>
        <w:ind w:firstLine="0"/>
        <w:jc w:val="center"/>
      </w:pPr>
      <w:r>
        <w:t>(С.М. Нечаева,</w:t>
      </w:r>
      <w:r>
        <w:t xml:space="preserve"> Д.В. Баснак, В.И. Михайлов, С.И. Лемешко, </w:t>
      </w:r>
      <w:r>
        <w:rPr>
          <w:lang w:val="en-US"/>
        </w:rPr>
        <w:t xml:space="preserve">A.M. </w:t>
      </w:r>
      <w:r>
        <w:t xml:space="preserve">Вишняков, </w:t>
      </w:r>
      <w:r>
        <w:rPr>
          <w:lang w:val="en-US"/>
        </w:rPr>
        <w:t xml:space="preserve">A.JL </w:t>
      </w:r>
      <w:r>
        <w:t>Сафонов)</w:t>
      </w:r>
    </w:p>
    <w:p w:rsidR="00491518" w:rsidRDefault="00826F8C">
      <w:pPr>
        <w:pStyle w:val="1"/>
        <w:shd w:val="clear" w:color="auto" w:fill="auto"/>
        <w:spacing w:before="0" w:after="0" w:line="317" w:lineRule="exact"/>
        <w:ind w:left="80" w:right="60" w:firstLine="720"/>
        <w:jc w:val="both"/>
      </w:pPr>
      <w:r>
        <w:t>Государственный служащий может владеть ценными бумагами, акциями (долями участия, паями в уставных (складочных) капиталах организаций), если это не приводит к конфликту интересов.</w:t>
      </w:r>
    </w:p>
    <w:p w:rsidR="00491518" w:rsidRDefault="00826F8C">
      <w:pPr>
        <w:pStyle w:val="1"/>
        <w:shd w:val="clear" w:color="auto" w:fill="auto"/>
        <w:spacing w:before="0" w:after="0" w:line="324" w:lineRule="exact"/>
        <w:ind w:left="80" w:right="60" w:firstLine="720"/>
        <w:jc w:val="both"/>
        <w:sectPr w:rsidR="00491518">
          <w:headerReference w:type="default" r:id="rId7"/>
          <w:type w:val="continuous"/>
          <w:pgSz w:w="11905" w:h="16837"/>
          <w:pgMar w:top="485" w:right="851" w:bottom="1486" w:left="1782" w:header="0" w:footer="3" w:gutter="0"/>
          <w:cols w:space="720"/>
          <w:noEndnote/>
          <w:titlePg/>
          <w:docGrid w:linePitch="360"/>
        </w:sectPr>
      </w:pPr>
      <w:r>
        <w:t>При принятии комиссией по соблюдению требований к служебному поведению и урегулированию конфликта интересов, руководителем государственного органа решения о необходимости передачи</w:t>
      </w:r>
      <w:r>
        <w:br w:type="page"/>
      </w:r>
    </w:p>
    <w:p w:rsidR="00491518" w:rsidRDefault="00826F8C">
      <w:pPr>
        <w:pStyle w:val="40"/>
        <w:framePr w:h="81" w:wrap="around" w:vAnchor="text" w:hAnchor="margin" w:x="-1423" w:y="80"/>
        <w:shd w:val="clear" w:color="auto" w:fill="auto"/>
        <w:spacing w:line="80" w:lineRule="exact"/>
      </w:pPr>
      <w:r>
        <w:lastRenderedPageBreak/>
        <w:t>1</w:t>
      </w:r>
    </w:p>
    <w:p w:rsidR="00491518" w:rsidRDefault="00826F8C">
      <w:pPr>
        <w:pStyle w:val="30"/>
        <w:shd w:val="clear" w:color="auto" w:fill="auto"/>
        <w:spacing w:after="139" w:line="210" w:lineRule="exact"/>
        <w:ind w:left="4500"/>
      </w:pPr>
      <w:r>
        <w:t>4</w:t>
      </w:r>
    </w:p>
    <w:p w:rsidR="00491518" w:rsidRDefault="00826F8C">
      <w:pPr>
        <w:pStyle w:val="1"/>
        <w:shd w:val="clear" w:color="auto" w:fill="auto"/>
        <w:spacing w:before="0" w:after="278" w:line="317" w:lineRule="exact"/>
        <w:ind w:left="20" w:right="20" w:firstLine="0"/>
        <w:jc w:val="both"/>
      </w:pPr>
      <w:r>
        <w:t>государственным служащим ценных бумаг, акций (долей участия, паев в уст</w:t>
      </w:r>
      <w:r>
        <w:t>авных (складочных) капиталах организаций) в доверительное управление,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 (пункт 1 статьи 1012 Гр</w:t>
      </w:r>
      <w:r>
        <w:t>ажданского кодекса Российской Федерации).</w:t>
      </w:r>
    </w:p>
    <w:p w:rsidR="00491518" w:rsidRDefault="00826F8C">
      <w:pPr>
        <w:pStyle w:val="1"/>
        <w:shd w:val="clear" w:color="auto" w:fill="auto"/>
        <w:spacing w:before="0" w:after="0" w:line="270" w:lineRule="exact"/>
        <w:ind w:left="7440" w:firstLine="0"/>
      </w:pPr>
      <w:r>
        <w:rPr>
          <w:lang w:val="en-US"/>
        </w:rPr>
        <w:t xml:space="preserve">A.J1. </w:t>
      </w:r>
      <w:r>
        <w:t>Сафонов</w:t>
      </w:r>
    </w:p>
    <w:sectPr w:rsidR="00491518" w:rsidSect="00491518">
      <w:headerReference w:type="default" r:id="rId8"/>
      <w:pgSz w:w="11905" w:h="16837"/>
      <w:pgMar w:top="485" w:right="851" w:bottom="1486" w:left="17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8C" w:rsidRDefault="00826F8C" w:rsidP="00491518">
      <w:r>
        <w:separator/>
      </w:r>
    </w:p>
  </w:endnote>
  <w:endnote w:type="continuationSeparator" w:id="0">
    <w:p w:rsidR="00826F8C" w:rsidRDefault="00826F8C" w:rsidP="0049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8C" w:rsidRDefault="00826F8C"/>
  </w:footnote>
  <w:footnote w:type="continuationSeparator" w:id="0">
    <w:p w:rsidR="00826F8C" w:rsidRDefault="00826F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8" w:rsidRDefault="00491518">
    <w:pPr>
      <w:pStyle w:val="a6"/>
      <w:framePr w:h="216" w:wrap="none" w:vAnchor="text" w:hAnchor="page" w:x="6335" w:y="471"/>
      <w:shd w:val="clear" w:color="auto" w:fill="auto"/>
      <w:jc w:val="both"/>
    </w:pPr>
    <w:fldSimple w:instr=" PAGE \* MERGEFORMAT ">
      <w:r w:rsidR="00DB1841" w:rsidRPr="00DB1841">
        <w:rPr>
          <w:rStyle w:val="105pt"/>
          <w:noProof/>
        </w:rPr>
        <w:t>3</w:t>
      </w:r>
    </w:fldSimple>
  </w:p>
  <w:p w:rsidR="00491518" w:rsidRDefault="0049151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8" w:rsidRDefault="004915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F5E"/>
    <w:multiLevelType w:val="multilevel"/>
    <w:tmpl w:val="585C2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04551"/>
    <w:multiLevelType w:val="multilevel"/>
    <w:tmpl w:val="FD067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1518"/>
    <w:rsid w:val="00491518"/>
    <w:rsid w:val="00826F8C"/>
    <w:rsid w:val="00DB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5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518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">
    <w:name w:val="Основной текст (2)_"/>
    <w:basedOn w:val="a0"/>
    <w:link w:val="20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491518"/>
    <w:rPr>
      <w:sz w:val="21"/>
      <w:szCs w:val="21"/>
    </w:rPr>
  </w:style>
  <w:style w:type="character" w:customStyle="1" w:styleId="12">
    <w:name w:val="Заголовок №1"/>
    <w:basedOn w:val="10"/>
    <w:rsid w:val="00491518"/>
    <w:rPr>
      <w:u w:val="single"/>
    </w:rPr>
  </w:style>
  <w:style w:type="character" w:customStyle="1" w:styleId="3">
    <w:name w:val="Основной текст (3)_"/>
    <w:basedOn w:val="a0"/>
    <w:link w:val="30"/>
    <w:rsid w:val="0049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40">
    <w:name w:val="Основной текст (4)"/>
    <w:basedOn w:val="a"/>
    <w:link w:val="4"/>
    <w:rsid w:val="004915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rsid w:val="0049151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491518"/>
    <w:pPr>
      <w:shd w:val="clear" w:color="auto" w:fill="FFFFFF"/>
      <w:spacing w:before="600" w:after="7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91518"/>
    <w:pPr>
      <w:shd w:val="clear" w:color="auto" w:fill="FFFFFF"/>
      <w:spacing w:after="240" w:line="317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4915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9151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2013-02-12T10:33:00Z</dcterms:created>
  <dcterms:modified xsi:type="dcterms:W3CDTF">2013-02-12T10:33:00Z</dcterms:modified>
</cp:coreProperties>
</file>